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13D32"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533326">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313766">
        <w:rPr>
          <w:lang w:val="kk-KZ"/>
        </w:rPr>
        <w:t>Көп бейінді облыстық аурухана</w:t>
      </w:r>
      <w:r w:rsidRPr="00017456">
        <w:rPr>
          <w:sz w:val="22"/>
          <w:szCs w:val="22"/>
          <w:lang w:val="kk-KZ"/>
        </w:rPr>
        <w:t>»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FF13DC">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w:t>
      </w:r>
      <w:r w:rsidR="00533326">
        <w:rPr>
          <w:sz w:val="22"/>
          <w:szCs w:val="22"/>
          <w:lang w:val="kk-KZ"/>
        </w:rPr>
        <w:t>Васильев</w:t>
      </w:r>
      <w:r w:rsidRPr="00DB70C9">
        <w:rPr>
          <w:sz w:val="22"/>
          <w:szCs w:val="22"/>
          <w:lang w:val="kk-KZ"/>
        </w:rPr>
        <w:t xml:space="preserve"> к-сі. Жеткізу уақыты 08: 00-ден 12: 30-ға дейін. және түнгі 2-ден. 4:30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w:t>
            </w:r>
            <w:r w:rsidR="00313766" w:rsidRPr="00313766">
              <w:rPr>
                <w:b/>
                <w:lang w:val="kk-KZ"/>
              </w:rPr>
              <w:t>Көп бейінді облыстық аурухана</w:t>
            </w:r>
            <w:r w:rsidRPr="00313766">
              <w:rPr>
                <w:b/>
                <w:sz w:val="22"/>
                <w:szCs w:val="22"/>
                <w:lang w:val="kk-KZ" w:eastAsia="en-US"/>
              </w:rPr>
              <w:t>»</w:t>
            </w:r>
            <w:r w:rsidRPr="00017456">
              <w:rPr>
                <w:b/>
                <w:sz w:val="22"/>
                <w:szCs w:val="22"/>
                <w:lang w:val="kk-KZ" w:eastAsia="en-US"/>
              </w:rPr>
              <w:t xml:space="preserve">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firstRow="0" w:lastRow="0" w:firstColumn="0" w:lastColumn="0" w:noHBand="0" w:noVBand="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9214BB"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r w:rsidR="00854D46"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313766"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313766">
              <w:rPr>
                <w:b/>
                <w:sz w:val="20"/>
                <w:szCs w:val="20"/>
                <w:lang w:val="kk-KZ" w:eastAsia="en-US"/>
              </w:rPr>
              <w:t>«</w:t>
            </w:r>
            <w:r w:rsidR="00313766" w:rsidRPr="00313766">
              <w:rPr>
                <w:b/>
                <w:sz w:val="20"/>
                <w:szCs w:val="20"/>
                <w:lang w:val="kk-KZ"/>
              </w:rPr>
              <w:t>Көп бейінді облыстық аурухана</w:t>
            </w:r>
            <w:r w:rsidRPr="00313766">
              <w:rPr>
                <w:b/>
                <w:sz w:val="20"/>
                <w:szCs w:val="20"/>
                <w:lang w:val="kk-KZ" w:eastAsia="en-US"/>
              </w:rPr>
              <w:t>»</w:t>
            </w:r>
            <w:r w:rsidRPr="00234B5C">
              <w:rPr>
                <w:b/>
                <w:sz w:val="20"/>
                <w:szCs w:val="20"/>
                <w:lang w:val="kk-KZ" w:eastAsia="en-US"/>
              </w:rPr>
              <w:t xml:space="preserve">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9214BB"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w:t>
      </w:r>
      <w:proofErr w:type="spellStart"/>
      <w:r w:rsidRPr="00783566">
        <w:rPr>
          <w:rFonts w:ascii="Times New Roman" w:eastAsia="Times New Roman" w:hAnsi="Times New Roman" w:cs="Times New Roman"/>
          <w:lang w:eastAsia="ru-RU"/>
        </w:rPr>
        <w:t>Кодекстің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аумаққа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тәуелсіз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қорытынды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ұқсат</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Республикасының</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қауіпсіздігін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қамтамасыз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жағдайларда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сақталады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w:t>
      </w:r>
      <w:proofErr w:type="spellStart"/>
      <w:r w:rsidRPr="00783566">
        <w:rPr>
          <w:rFonts w:ascii="Times New Roman" w:eastAsia="Times New Roman" w:hAnsi="Times New Roman" w:cs="Times New Roman"/>
          <w:lang w:eastAsia="ru-RU"/>
        </w:rPr>
        <w:t>таңбалау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тұтынушылық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қаптама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жөніндегі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нұсқаулықтар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заңнамасының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күні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қаптамада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пакеттің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w:t>
      </w:r>
      <w:proofErr w:type="spellStart"/>
      <w:r w:rsidRPr="00783566">
        <w:rPr>
          <w:rFonts w:ascii="Times New Roman" w:eastAsia="Times New Roman" w:hAnsi="Times New Roman" w:cs="Times New Roman"/>
          <w:lang w:eastAsia="ru-RU"/>
        </w:rPr>
        <w:t>көп</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шақыруда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w:t>
      </w:r>
      <w:proofErr w:type="spellStart"/>
      <w:r w:rsidRPr="00783566">
        <w:rPr>
          <w:rFonts w:ascii="Times New Roman" w:eastAsia="Times New Roman" w:hAnsi="Times New Roman" w:cs="Times New Roman"/>
          <w:lang w:eastAsia="ru-RU"/>
        </w:rPr>
        <w:t>ықтимал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жеткізушінің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ұсынысы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дәрмектердің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сондай-ақ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бағаларын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тәртіппен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халықаралық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сауда-саттық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бағасынан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көлемі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әлеуметтік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сақтандыру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жүйесі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шеңберіндегі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өнімдер</w:t>
      </w:r>
      <w:proofErr w:type="spellEnd"/>
      <w:r w:rsidRPr="00783566">
        <w:rPr>
          <w:rFonts w:ascii="Times New Roman" w:eastAsia="Times New Roman" w:hAnsi="Times New Roman" w:cs="Times New Roman"/>
          <w:lang w:eastAsia="ru-RU"/>
        </w:rPr>
        <w:t>.</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313766">
              <w:rPr>
                <w:b/>
                <w:sz w:val="20"/>
                <w:szCs w:val="20"/>
                <w:lang w:val="kk-KZ" w:eastAsia="en-US"/>
              </w:rPr>
              <w:t>«</w:t>
            </w:r>
            <w:r w:rsidR="00313766" w:rsidRPr="00313766">
              <w:rPr>
                <w:b/>
                <w:sz w:val="20"/>
                <w:szCs w:val="20"/>
                <w:lang w:val="kk-KZ"/>
              </w:rPr>
              <w:t>Көп бейінді облыстық аурухана</w:t>
            </w:r>
            <w:r w:rsidRPr="00313766">
              <w:rPr>
                <w:b/>
                <w:sz w:val="20"/>
                <w:szCs w:val="20"/>
                <w:lang w:val="kk-KZ" w:eastAsia="en-US"/>
              </w:rPr>
              <w:t>»</w:t>
            </w:r>
            <w:r w:rsidRPr="00234B5C">
              <w:rPr>
                <w:b/>
                <w:sz w:val="20"/>
                <w:szCs w:val="20"/>
                <w:lang w:val="kk-KZ" w:eastAsia="en-US"/>
              </w:rPr>
              <w:t xml:space="preserve">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bookmarkStart w:id="0" w:name="_GoBack"/>
            <w:bookmarkEnd w:id="0"/>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3766"/>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3326"/>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214BB"/>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13DC"/>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FF596-99C3-46E2-BA06-54D142B98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3485</Words>
  <Characters>19867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Гульмира</cp:lastModifiedBy>
  <cp:revision>8</cp:revision>
  <cp:lastPrinted>2018-08-29T06:32:00Z</cp:lastPrinted>
  <dcterms:created xsi:type="dcterms:W3CDTF">2020-01-21T09:04:00Z</dcterms:created>
  <dcterms:modified xsi:type="dcterms:W3CDTF">2021-01-22T04:53:00Z</dcterms:modified>
</cp:coreProperties>
</file>